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17" w:rsidRDefault="005D661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D6617" w:rsidRDefault="005D6617">
      <w:pPr>
        <w:pStyle w:val="ConsPlusNormal"/>
        <w:jc w:val="both"/>
        <w:outlineLvl w:val="0"/>
      </w:pPr>
    </w:p>
    <w:p w:rsidR="005D6617" w:rsidRDefault="005D6617">
      <w:pPr>
        <w:pStyle w:val="ConsPlusTitle"/>
        <w:jc w:val="center"/>
        <w:outlineLvl w:val="0"/>
      </w:pPr>
      <w:r>
        <w:t>ФЕДЕРАЛЬНАЯ АНТИМОНОПОЛЬНАЯ СЛУЖБА</w:t>
      </w:r>
    </w:p>
    <w:p w:rsidR="005D6617" w:rsidRDefault="005D6617">
      <w:pPr>
        <w:pStyle w:val="ConsPlusTitle"/>
        <w:jc w:val="center"/>
      </w:pPr>
    </w:p>
    <w:p w:rsidR="005D6617" w:rsidRDefault="005D6617">
      <w:pPr>
        <w:pStyle w:val="ConsPlusTitle"/>
        <w:jc w:val="center"/>
      </w:pPr>
      <w:r>
        <w:t>ПИСЬМО</w:t>
      </w:r>
    </w:p>
    <w:p w:rsidR="005D6617" w:rsidRDefault="005D6617">
      <w:pPr>
        <w:pStyle w:val="ConsPlusTitle"/>
        <w:jc w:val="center"/>
      </w:pPr>
      <w:r>
        <w:t>от 2 октября 2020 г. N ИА/85875/20</w:t>
      </w:r>
    </w:p>
    <w:p w:rsidR="005D6617" w:rsidRDefault="005D6617">
      <w:pPr>
        <w:pStyle w:val="ConsPlusTitle"/>
        <w:jc w:val="center"/>
      </w:pPr>
    </w:p>
    <w:p w:rsidR="005D6617" w:rsidRDefault="005D6617">
      <w:pPr>
        <w:pStyle w:val="ConsPlusTitle"/>
        <w:jc w:val="center"/>
      </w:pPr>
      <w:r>
        <w:t>ПО ВОПРОСУ</w:t>
      </w:r>
    </w:p>
    <w:p w:rsidR="005D6617" w:rsidRDefault="005D6617">
      <w:pPr>
        <w:pStyle w:val="ConsPlusTitle"/>
        <w:jc w:val="center"/>
      </w:pPr>
      <w:r>
        <w:t>ФОРМИРОВАНИЯ ЛОТОВ ПРИ ОРГАНИЗАЦИИ РЕГУЛЯРНЫХ ПЕРЕВОЗОК</w:t>
      </w:r>
    </w:p>
    <w:p w:rsidR="005D6617" w:rsidRDefault="005D6617">
      <w:pPr>
        <w:pStyle w:val="ConsPlusTitle"/>
        <w:jc w:val="center"/>
      </w:pPr>
      <w:r>
        <w:t>ПАССАЖИРОВ И БАГАЖА В СООТВЕТСТВИИ С ФЕДЕРАЛЬНЫМ ЗАКОНОМ</w:t>
      </w:r>
    </w:p>
    <w:p w:rsidR="005D6617" w:rsidRDefault="005D6617">
      <w:pPr>
        <w:pStyle w:val="ConsPlusTitle"/>
        <w:jc w:val="center"/>
      </w:pPr>
      <w:r>
        <w:t>ОТ 13.07.2015 N 220-ФЗ</w:t>
      </w:r>
    </w:p>
    <w:p w:rsidR="005D6617" w:rsidRDefault="005D6617">
      <w:pPr>
        <w:pStyle w:val="ConsPlusNormal"/>
        <w:jc w:val="both"/>
      </w:pPr>
    </w:p>
    <w:p w:rsidR="005D6617" w:rsidRDefault="005D6617">
      <w:pPr>
        <w:pStyle w:val="ConsPlusNormal"/>
        <w:ind w:firstLine="540"/>
        <w:jc w:val="both"/>
      </w:pPr>
      <w:proofErr w:type="gramStart"/>
      <w:r>
        <w:t xml:space="preserve">Федеральная антимонопольная служба (далее - ФАС России) в связи с поступающими вопросами об определении критериев формирования лотов при организации регулярных перевозок пассажиров и багажа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а</w:t>
      </w:r>
      <w:proofErr w:type="gramEnd"/>
      <w:r>
        <w:t xml:space="preserve"> </w:t>
      </w:r>
      <w:proofErr w:type="gramStart"/>
      <w:r>
        <w:t xml:space="preserve">также в целях формирования единообразной практики применения положений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государственных и муниципальных нужд" (далее - Закон о контрактной системе) на основании </w:t>
      </w:r>
      <w:hyperlink r:id="rId8" w:history="1">
        <w:r>
          <w:rPr>
            <w:color w:val="0000FF"/>
          </w:rPr>
          <w:t>пункта 5.4</w:t>
        </w:r>
      </w:hyperlink>
      <w:r>
        <w:t xml:space="preserve"> постановления Правительства Российской Федерации от 30.06.2004 N 331 "Об утверждении Положения о Федеральной антимонопольной службе" направляет информационное письмо о следующем.</w:t>
      </w:r>
      <w:proofErr w:type="gramEnd"/>
    </w:p>
    <w:p w:rsidR="005D6617" w:rsidRDefault="005D6617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пунктом 1 части 1 статьи 33</w:t>
        </w:r>
      </w:hyperlink>
      <w:r>
        <w:t xml:space="preserve"> Закона о контрактной системе заказчик при описании объекта закупки должен руководствоваться, в том числе, правилом, что в описание объекта закупки не должны включаться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закупки.</w:t>
      </w:r>
      <w:proofErr w:type="gramEnd"/>
    </w:p>
    <w:p w:rsidR="005D6617" w:rsidRDefault="005D6617">
      <w:pPr>
        <w:pStyle w:val="ConsPlusNormal"/>
        <w:spacing w:before="220"/>
        <w:ind w:firstLine="540"/>
        <w:jc w:val="both"/>
      </w:pPr>
      <w:r>
        <w:t xml:space="preserve">Кроме того, при проведении торгов необходимо учитывать антимонопольные требования к торгам, установленные </w:t>
      </w:r>
      <w:hyperlink r:id="rId10" w:history="1">
        <w:r>
          <w:rPr>
            <w:color w:val="0000FF"/>
          </w:rPr>
          <w:t>статьей 17</w:t>
        </w:r>
      </w:hyperlink>
      <w:r>
        <w:t xml:space="preserve"> Федерального закона от 26.07.2006 N 135-ФЗ "О защите конкуренции" (далее - Закон о защите конкуренции).</w:t>
      </w:r>
    </w:p>
    <w:p w:rsidR="005D6617" w:rsidRDefault="005D6617">
      <w:pPr>
        <w:pStyle w:val="ConsPlusNormal"/>
        <w:spacing w:before="220"/>
        <w:ind w:firstLine="540"/>
        <w:jc w:val="both"/>
      </w:pPr>
      <w:r>
        <w:t xml:space="preserve">С учетом указанных положений </w:t>
      </w:r>
      <w:hyperlink r:id="rId11" w:history="1">
        <w:r>
          <w:rPr>
            <w:color w:val="0000FF"/>
          </w:rPr>
          <w:t>Закона</w:t>
        </w:r>
      </w:hyperlink>
      <w:r>
        <w:t xml:space="preserve"> о контрактной системе и </w:t>
      </w:r>
      <w:hyperlink r:id="rId12" w:history="1">
        <w:r>
          <w:rPr>
            <w:color w:val="0000FF"/>
          </w:rPr>
          <w:t>Закона</w:t>
        </w:r>
      </w:hyperlink>
      <w:r>
        <w:t xml:space="preserve"> о защите конкуренции, а также анализа административной практики ФАС Росс</w:t>
      </w:r>
      <w:proofErr w:type="gramStart"/>
      <w:r>
        <w:t>ии и ее</w:t>
      </w:r>
      <w:proofErr w:type="gramEnd"/>
      <w:r>
        <w:t xml:space="preserve"> территориальных органов, соблюдение следующих критериев свидетельствует о формировании лотов, не ограничивающих конкуренцию и количество участников торгов:</w:t>
      </w:r>
    </w:p>
    <w:p w:rsidR="005D6617" w:rsidRDefault="005D6617">
      <w:pPr>
        <w:pStyle w:val="ConsPlusNormal"/>
        <w:jc w:val="both"/>
      </w:pPr>
    </w:p>
    <w:p w:rsidR="005D6617" w:rsidRDefault="005D6617">
      <w:pPr>
        <w:pStyle w:val="ConsPlusTitle"/>
        <w:ind w:firstLine="540"/>
        <w:jc w:val="both"/>
        <w:outlineLvl w:val="1"/>
      </w:pPr>
      <w:bookmarkStart w:id="0" w:name="P16"/>
      <w:bookmarkEnd w:id="0"/>
      <w:r>
        <w:t>I. Перевозки по муниципальным и межмуниципальным маршрутам</w:t>
      </w:r>
    </w:p>
    <w:p w:rsidR="005D6617" w:rsidRDefault="005D6617">
      <w:pPr>
        <w:pStyle w:val="ConsPlusNormal"/>
        <w:jc w:val="both"/>
      </w:pPr>
    </w:p>
    <w:p w:rsidR="005D6617" w:rsidRDefault="005D6617">
      <w:pPr>
        <w:pStyle w:val="ConsPlusNormal"/>
        <w:ind w:firstLine="540"/>
        <w:jc w:val="both"/>
      </w:pPr>
      <w:bookmarkStart w:id="1" w:name="P18"/>
      <w:bookmarkEnd w:id="1"/>
      <w:r>
        <w:t>1. Минимальное количество лотов и максимальный размер обеспечения исполнения контракта:</w:t>
      </w:r>
    </w:p>
    <w:p w:rsidR="005D6617" w:rsidRDefault="005D6617">
      <w:pPr>
        <w:pStyle w:val="ConsPlusNormal"/>
        <w:spacing w:before="220"/>
        <w:ind w:firstLine="540"/>
        <w:jc w:val="both"/>
      </w:pPr>
      <w:r>
        <w:t>1.1. Для муниципальных маршрутов, в случае, если численность населения муниципального образования не превышает 50 тысяч человек, все маршруты разделены не менее чем на 10 лотов.</w:t>
      </w:r>
    </w:p>
    <w:p w:rsidR="005D6617" w:rsidRDefault="005D6617">
      <w:pPr>
        <w:pStyle w:val="ConsPlusNormal"/>
        <w:spacing w:before="220"/>
        <w:ind w:firstLine="540"/>
        <w:jc w:val="both"/>
      </w:pPr>
      <w:r>
        <w:t>Для межмуниципальных маршрутов, в случае, если общая численность населения муниципальных образований, по которым проходит межмуниципальный маршрут, не превышает 50 тысяч человек, все маршруты разделены не менее чем на 10 лотов.</w:t>
      </w:r>
    </w:p>
    <w:p w:rsidR="005D6617" w:rsidRDefault="005D6617">
      <w:pPr>
        <w:pStyle w:val="ConsPlusNormal"/>
        <w:spacing w:before="220"/>
        <w:ind w:firstLine="540"/>
        <w:jc w:val="both"/>
      </w:pPr>
      <w:r>
        <w:t>Обеспечение исполнения контракта, предоставляемое лицом, с которым заключается контракт, не должно превышать 100 млн. руб.</w:t>
      </w:r>
    </w:p>
    <w:p w:rsidR="005D6617" w:rsidRDefault="005D6617">
      <w:pPr>
        <w:pStyle w:val="ConsPlusNormal"/>
        <w:spacing w:before="220"/>
        <w:ind w:firstLine="540"/>
        <w:jc w:val="both"/>
      </w:pPr>
      <w:r>
        <w:lastRenderedPageBreak/>
        <w:t>1.2. Для муниципальных маршрутов, в случае, если численность населения муниципального образования более 50 тысяч человек, но не превышает 150 тысяч человек, все маршруты разделены не менее чем на 15 лотов.</w:t>
      </w:r>
    </w:p>
    <w:p w:rsidR="005D6617" w:rsidRDefault="005D6617">
      <w:pPr>
        <w:pStyle w:val="ConsPlusNormal"/>
        <w:spacing w:before="220"/>
        <w:ind w:firstLine="540"/>
        <w:jc w:val="both"/>
      </w:pPr>
      <w:r>
        <w:t>Для межмуниципальных маршрутов, в случае, если общая численность населения муниципальных образований, по которым проходит межмуниципальный маршрут, более 50 тысяч человек, но не превышает 150 тысяч человек, все маршруты разделены не менее чем на 15 лотов.</w:t>
      </w:r>
    </w:p>
    <w:p w:rsidR="005D6617" w:rsidRDefault="005D6617">
      <w:pPr>
        <w:pStyle w:val="ConsPlusNormal"/>
        <w:spacing w:before="220"/>
        <w:ind w:firstLine="540"/>
        <w:jc w:val="both"/>
      </w:pPr>
      <w:r>
        <w:t>Обеспечение исполнения контракта, предоставляемое лицом, с которым заключается контракт, не должно превышать 200 млн. руб.</w:t>
      </w:r>
    </w:p>
    <w:p w:rsidR="005D6617" w:rsidRDefault="005D6617">
      <w:pPr>
        <w:pStyle w:val="ConsPlusNormal"/>
        <w:spacing w:before="220"/>
        <w:ind w:firstLine="540"/>
        <w:jc w:val="both"/>
      </w:pPr>
      <w:r>
        <w:t>1.3. Для муниципальных маршрутов, в случае, если численность населения муниципального образования более 150 тысяч человек, но не превышает 1 миллион человек, все маршруты разделены не менее чем на 20 лотов.</w:t>
      </w:r>
    </w:p>
    <w:p w:rsidR="005D6617" w:rsidRDefault="005D6617">
      <w:pPr>
        <w:pStyle w:val="ConsPlusNormal"/>
        <w:spacing w:before="220"/>
        <w:ind w:firstLine="540"/>
        <w:jc w:val="both"/>
      </w:pPr>
      <w:r>
        <w:t>Для межмуниципальных маршрутов, в случае, если общая численность населения муниципальных образований, по которым проходит межмуниципальный маршрут, более 150 тысяч человек, но не превышает 1 миллион человек, все маршруты разделены не менее чем на 20 лотов.</w:t>
      </w:r>
    </w:p>
    <w:p w:rsidR="005D6617" w:rsidRDefault="005D6617">
      <w:pPr>
        <w:pStyle w:val="ConsPlusNormal"/>
        <w:spacing w:before="220"/>
        <w:ind w:firstLine="540"/>
        <w:jc w:val="both"/>
      </w:pPr>
      <w:r>
        <w:t>Обеспечение исполнения контракта, предоставляемое лицом, с которым заключается контракт, не должно превышать 300 млн. руб.</w:t>
      </w:r>
    </w:p>
    <w:p w:rsidR="005D6617" w:rsidRDefault="005D6617">
      <w:pPr>
        <w:pStyle w:val="ConsPlusNormal"/>
        <w:spacing w:before="220"/>
        <w:ind w:firstLine="540"/>
        <w:jc w:val="both"/>
      </w:pPr>
      <w:r>
        <w:t>1.4. Для муниципальных маршрутов, в случае, если численность населения муниципального образования более 1 миллиона человек, все маршруты разделены не менее чем на 30 лотов.</w:t>
      </w:r>
    </w:p>
    <w:p w:rsidR="005D6617" w:rsidRDefault="005D6617">
      <w:pPr>
        <w:pStyle w:val="ConsPlusNormal"/>
        <w:spacing w:before="220"/>
        <w:ind w:firstLine="540"/>
        <w:jc w:val="both"/>
      </w:pPr>
      <w:r>
        <w:t>Для межмуниципальных маршрутов, в случае, если общая численность населения муниципальных образований, по которым проходит межмуниципальный маршрут, более 1 миллиона человек, все маршруты разделены не менее чем на 30 лотов.</w:t>
      </w:r>
    </w:p>
    <w:p w:rsidR="005D6617" w:rsidRDefault="005D6617">
      <w:pPr>
        <w:pStyle w:val="ConsPlusNormal"/>
        <w:spacing w:before="220"/>
        <w:ind w:firstLine="540"/>
        <w:jc w:val="both"/>
      </w:pPr>
      <w:r>
        <w:t>Обеспечение исполнения контракта, предоставляемое лицом, с которым заключается контракт, не должно превышать 500 млн. руб.</w:t>
      </w:r>
    </w:p>
    <w:p w:rsidR="005D6617" w:rsidRDefault="005D6617">
      <w:pPr>
        <w:pStyle w:val="ConsPlusNormal"/>
        <w:spacing w:before="220"/>
        <w:ind w:firstLine="540"/>
        <w:jc w:val="both"/>
      </w:pPr>
      <w:r>
        <w:t>1.5. В городах федерального значения Москва и Санкт-Петербург все маршруты разделены не менее чем на 50 лотов.</w:t>
      </w:r>
    </w:p>
    <w:p w:rsidR="005D6617" w:rsidRDefault="005D6617">
      <w:pPr>
        <w:pStyle w:val="ConsPlusNormal"/>
        <w:spacing w:before="220"/>
        <w:ind w:firstLine="540"/>
        <w:jc w:val="both"/>
      </w:pPr>
      <w:r>
        <w:t>Обеспечение исполнения контракта, предоставляемое лицом, с которым заключается контракт, не должно превышать 500 млн. руб.</w:t>
      </w:r>
    </w:p>
    <w:p w:rsidR="005D6617" w:rsidRDefault="005D6617">
      <w:pPr>
        <w:pStyle w:val="ConsPlusNormal"/>
        <w:spacing w:before="220"/>
        <w:ind w:firstLine="540"/>
        <w:jc w:val="both"/>
      </w:pPr>
      <w:r>
        <w:t xml:space="preserve">2. Срок исполнения обязательств по контракту для лотов, сформированных с учетом </w:t>
      </w:r>
      <w:hyperlink w:anchor="P18" w:history="1">
        <w:r>
          <w:rPr>
            <w:color w:val="0000FF"/>
          </w:rPr>
          <w:t>пункта 1</w:t>
        </w:r>
      </w:hyperlink>
      <w:r>
        <w:t xml:space="preserve"> настоящего разъяснения, должен составлять не более 10 лет.</w:t>
      </w:r>
    </w:p>
    <w:p w:rsidR="005D6617" w:rsidRDefault="005D6617">
      <w:pPr>
        <w:pStyle w:val="ConsPlusNormal"/>
        <w:spacing w:before="220"/>
        <w:ind w:firstLine="540"/>
        <w:jc w:val="both"/>
      </w:pPr>
      <w:r>
        <w:t>3. Общая протяженность маршрутов каждого лота, сформированного с учетом настоящего разъяснения, не должна отличаться от других лотов более чем на 20%.</w:t>
      </w:r>
    </w:p>
    <w:p w:rsidR="005D6617" w:rsidRDefault="005D6617">
      <w:pPr>
        <w:pStyle w:val="ConsPlusNormal"/>
        <w:jc w:val="both"/>
      </w:pPr>
    </w:p>
    <w:p w:rsidR="005D6617" w:rsidRDefault="005D6617">
      <w:pPr>
        <w:pStyle w:val="ConsPlusTitle"/>
        <w:ind w:firstLine="540"/>
        <w:jc w:val="both"/>
        <w:outlineLvl w:val="1"/>
      </w:pPr>
      <w:bookmarkStart w:id="2" w:name="P36"/>
      <w:bookmarkEnd w:id="2"/>
      <w:r>
        <w:t>II. Перевозки по смежным межрегиональным маршрутам</w:t>
      </w:r>
    </w:p>
    <w:p w:rsidR="005D6617" w:rsidRDefault="005D6617">
      <w:pPr>
        <w:pStyle w:val="ConsPlusNormal"/>
        <w:jc w:val="both"/>
      </w:pPr>
    </w:p>
    <w:p w:rsidR="005D6617" w:rsidRDefault="005D6617">
      <w:pPr>
        <w:pStyle w:val="ConsPlusNormal"/>
        <w:ind w:firstLine="540"/>
        <w:jc w:val="both"/>
      </w:pPr>
      <w:r>
        <w:t>1. Все маршруты разделены не менее чем на 5 лотов.</w:t>
      </w:r>
    </w:p>
    <w:p w:rsidR="005D6617" w:rsidRDefault="005D6617">
      <w:pPr>
        <w:pStyle w:val="ConsPlusNormal"/>
        <w:spacing w:before="220"/>
        <w:ind w:firstLine="540"/>
        <w:jc w:val="both"/>
      </w:pPr>
      <w:r>
        <w:t>2. Срок исполнения обязательств по контракту должен составлять не более 10 лет.</w:t>
      </w:r>
    </w:p>
    <w:p w:rsidR="005D6617" w:rsidRDefault="005D6617">
      <w:pPr>
        <w:pStyle w:val="ConsPlusNormal"/>
        <w:spacing w:before="220"/>
        <w:ind w:firstLine="540"/>
        <w:jc w:val="both"/>
      </w:pPr>
      <w:r>
        <w:t>3. Обеспечение исполнения контракта, предоставляемое лицом, с которым заключается контракт, не должно превышать 300 млн. руб.</w:t>
      </w:r>
    </w:p>
    <w:p w:rsidR="005D6617" w:rsidRDefault="005D6617">
      <w:pPr>
        <w:pStyle w:val="ConsPlusNormal"/>
        <w:jc w:val="both"/>
      </w:pPr>
    </w:p>
    <w:p w:rsidR="005D6617" w:rsidRDefault="005D6617">
      <w:pPr>
        <w:pStyle w:val="ConsPlusTitle"/>
        <w:ind w:firstLine="540"/>
        <w:jc w:val="both"/>
        <w:outlineLvl w:val="1"/>
      </w:pPr>
      <w:r>
        <w:t>III. Особенности формирования лотов</w:t>
      </w:r>
    </w:p>
    <w:p w:rsidR="005D6617" w:rsidRDefault="005D6617">
      <w:pPr>
        <w:pStyle w:val="ConsPlusNormal"/>
        <w:jc w:val="both"/>
      </w:pPr>
    </w:p>
    <w:p w:rsidR="005D6617" w:rsidRDefault="005D6617">
      <w:pPr>
        <w:pStyle w:val="ConsPlusNormal"/>
        <w:ind w:firstLine="540"/>
        <w:jc w:val="both"/>
      </w:pPr>
      <w:r>
        <w:lastRenderedPageBreak/>
        <w:t>Несоблюдение изложенных критериев является признаком ограничения конкуренции и количества участников торгов при формировании лотов при организации регулярных перевозок.</w:t>
      </w:r>
    </w:p>
    <w:p w:rsidR="005D6617" w:rsidRDefault="005D6617">
      <w:pPr>
        <w:pStyle w:val="ConsPlusNormal"/>
        <w:spacing w:before="220"/>
        <w:ind w:firstLine="540"/>
        <w:jc w:val="both"/>
      </w:pPr>
      <w:proofErr w:type="gramStart"/>
      <w:r>
        <w:t>Если заказчиком не может быть сформировано минимально необходимое количество лотов с учетом изложенных выше критериев, а также в случае необходимости включения в лот разных видов маршрутов (например, муниципальный и межмуниципальный маршрут), то заказчик вправе обратиться в соответствующий территориальный орган ФАС России для проведения консультаций по вопросу сложившейся ситуации с формированием лотов.</w:t>
      </w:r>
      <w:proofErr w:type="gramEnd"/>
      <w:r>
        <w:t xml:space="preserve"> При этом заказчик должен представить обоснования, свидетельствующие о невозможности формирования количества лотов в соответствии с </w:t>
      </w:r>
      <w:hyperlink w:anchor="P16" w:history="1">
        <w:r>
          <w:rPr>
            <w:color w:val="0000FF"/>
          </w:rPr>
          <w:t>разделами I</w:t>
        </w:r>
      </w:hyperlink>
      <w:r>
        <w:t xml:space="preserve">, </w:t>
      </w:r>
      <w:hyperlink w:anchor="P36" w:history="1">
        <w:r>
          <w:rPr>
            <w:color w:val="0000FF"/>
          </w:rPr>
          <w:t>II</w:t>
        </w:r>
      </w:hyperlink>
      <w:r>
        <w:t xml:space="preserve"> настоящего разъяснения.</w:t>
      </w:r>
    </w:p>
    <w:p w:rsidR="005D6617" w:rsidRDefault="005D6617">
      <w:pPr>
        <w:pStyle w:val="ConsPlusNormal"/>
        <w:spacing w:before="220"/>
        <w:ind w:firstLine="540"/>
        <w:jc w:val="both"/>
      </w:pPr>
      <w:proofErr w:type="gramStart"/>
      <w:r>
        <w:t xml:space="preserve">Территориальный орган ФАС России на основе имеющихся сведений о состоянии конкуренции на соответствующем товарном рынке вправе не признавать нарушением формирование заказчиком при проведении торгов на организацию регулярных перевозок меньшего количества лотов, чем указано в </w:t>
      </w:r>
      <w:hyperlink w:anchor="P16" w:history="1">
        <w:r>
          <w:rPr>
            <w:color w:val="0000FF"/>
          </w:rPr>
          <w:t>разделах I</w:t>
        </w:r>
      </w:hyperlink>
      <w:r>
        <w:t xml:space="preserve">, </w:t>
      </w:r>
      <w:hyperlink w:anchor="P36" w:history="1">
        <w:r>
          <w:rPr>
            <w:color w:val="0000FF"/>
          </w:rPr>
          <w:t>II</w:t>
        </w:r>
      </w:hyperlink>
      <w:r>
        <w:t xml:space="preserve"> настоящего разъяснения, при условии достаточности количества лотов для соблюдения конкурентной среды при проведении таких торгов.</w:t>
      </w:r>
      <w:proofErr w:type="gramEnd"/>
      <w:r>
        <w:t xml:space="preserve"> При этом неизменными должны оставаться условия о сроках исполнения обязательств по контракту, максимальном размере обеспечения исполнения контракта, предоставляемого лицом, с которым заключается контракт.</w:t>
      </w:r>
    </w:p>
    <w:p w:rsidR="005D6617" w:rsidRDefault="005D6617">
      <w:pPr>
        <w:pStyle w:val="ConsPlusNormal"/>
        <w:spacing w:before="220"/>
        <w:ind w:firstLine="540"/>
        <w:jc w:val="both"/>
      </w:pPr>
      <w:r>
        <w:t>Учитывая изложенное, ФАС России обращает внимание, что в целях формирования единообразной практики территориальным органам необходимо руководствоваться указанным разъяснением при рассмотрении жалоб и проведении внеплановых проверок.</w:t>
      </w:r>
    </w:p>
    <w:p w:rsidR="005D6617" w:rsidRDefault="005D6617">
      <w:pPr>
        <w:pStyle w:val="ConsPlusNormal"/>
        <w:jc w:val="both"/>
      </w:pPr>
    </w:p>
    <w:p w:rsidR="005D6617" w:rsidRDefault="005D6617">
      <w:pPr>
        <w:pStyle w:val="ConsPlusNormal"/>
        <w:jc w:val="right"/>
      </w:pPr>
      <w:r>
        <w:t>И.Ю.АРТЕМЬЕВ</w:t>
      </w:r>
    </w:p>
    <w:p w:rsidR="005D6617" w:rsidRDefault="005D6617">
      <w:pPr>
        <w:pStyle w:val="ConsPlusNormal"/>
        <w:jc w:val="both"/>
      </w:pPr>
    </w:p>
    <w:p w:rsidR="005D6617" w:rsidRDefault="005D6617">
      <w:pPr>
        <w:pStyle w:val="ConsPlusNormal"/>
        <w:jc w:val="both"/>
      </w:pPr>
    </w:p>
    <w:p w:rsidR="005D6617" w:rsidRDefault="005D6617">
      <w:pPr>
        <w:pStyle w:val="ConsPlusNormal"/>
        <w:jc w:val="both"/>
      </w:pPr>
    </w:p>
    <w:p w:rsidR="005D6617" w:rsidRDefault="005D6617">
      <w:pPr>
        <w:pStyle w:val="ConsPlusNormal"/>
        <w:jc w:val="both"/>
      </w:pPr>
    </w:p>
    <w:p w:rsidR="005D6617" w:rsidRDefault="005D6617">
      <w:pPr>
        <w:pStyle w:val="ConsPlusNormal"/>
        <w:jc w:val="both"/>
      </w:pPr>
    </w:p>
    <w:p w:rsidR="005D6617" w:rsidRDefault="005D6617">
      <w:pPr>
        <w:pStyle w:val="ConsPlusNormal"/>
        <w:jc w:val="right"/>
        <w:outlineLvl w:val="0"/>
      </w:pPr>
      <w:r>
        <w:t>Приложение</w:t>
      </w:r>
    </w:p>
    <w:p w:rsidR="005D6617" w:rsidRDefault="005D6617">
      <w:pPr>
        <w:pStyle w:val="ConsPlusNormal"/>
        <w:jc w:val="right"/>
      </w:pPr>
      <w:r>
        <w:t>к Письму</w:t>
      </w:r>
    </w:p>
    <w:p w:rsidR="005D6617" w:rsidRDefault="005D6617">
      <w:pPr>
        <w:pStyle w:val="ConsPlusNormal"/>
        <w:jc w:val="both"/>
      </w:pPr>
    </w:p>
    <w:p w:rsidR="005D6617" w:rsidRDefault="005D6617">
      <w:pPr>
        <w:pStyle w:val="ConsPlusTitle"/>
        <w:jc w:val="center"/>
        <w:outlineLvl w:val="1"/>
      </w:pPr>
      <w:r>
        <w:t>Перевозки по муниципальным и межмуниципальным маршрутам:</w:t>
      </w:r>
    </w:p>
    <w:p w:rsidR="005D6617" w:rsidRDefault="005D66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493"/>
        <w:gridCol w:w="3061"/>
      </w:tblGrid>
      <w:tr w:rsidR="005D6617">
        <w:tc>
          <w:tcPr>
            <w:tcW w:w="3515" w:type="dxa"/>
          </w:tcPr>
          <w:p w:rsidR="005D6617" w:rsidRDefault="005D6617">
            <w:pPr>
              <w:pStyle w:val="ConsPlusNormal"/>
              <w:jc w:val="center"/>
            </w:pPr>
            <w:r>
              <w:t>Численность населения муниципального образования/общая численность муниципальных образований, по которым проходит межмуниципальный маршрут</w:t>
            </w:r>
          </w:p>
        </w:tc>
        <w:tc>
          <w:tcPr>
            <w:tcW w:w="2493" w:type="dxa"/>
          </w:tcPr>
          <w:p w:rsidR="005D6617" w:rsidRDefault="005D6617">
            <w:pPr>
              <w:pStyle w:val="ConsPlusNormal"/>
              <w:jc w:val="center"/>
            </w:pPr>
            <w:r>
              <w:t>Минимальное количество лотов при организации регулярных перевозок</w:t>
            </w:r>
          </w:p>
        </w:tc>
        <w:tc>
          <w:tcPr>
            <w:tcW w:w="3061" w:type="dxa"/>
          </w:tcPr>
          <w:p w:rsidR="005D6617" w:rsidRDefault="005D6617">
            <w:pPr>
              <w:pStyle w:val="ConsPlusNormal"/>
              <w:jc w:val="center"/>
            </w:pPr>
            <w:r>
              <w:t>Максимальный размер обеспечения исполнения контракта, предоставляемого лицом, с которым заключается контракт</w:t>
            </w:r>
          </w:p>
        </w:tc>
      </w:tr>
      <w:tr w:rsidR="005D6617">
        <w:tc>
          <w:tcPr>
            <w:tcW w:w="3515" w:type="dxa"/>
          </w:tcPr>
          <w:p w:rsidR="005D6617" w:rsidRDefault="005D6617">
            <w:pPr>
              <w:pStyle w:val="ConsPlusNormal"/>
            </w:pPr>
            <w:r>
              <w:t>До 50 тыс. чел.</w:t>
            </w:r>
          </w:p>
        </w:tc>
        <w:tc>
          <w:tcPr>
            <w:tcW w:w="2493" w:type="dxa"/>
          </w:tcPr>
          <w:p w:rsidR="005D6617" w:rsidRDefault="005D6617">
            <w:pPr>
              <w:pStyle w:val="ConsPlusNormal"/>
              <w:jc w:val="center"/>
            </w:pPr>
            <w:r>
              <w:t>10 лотов</w:t>
            </w:r>
          </w:p>
        </w:tc>
        <w:tc>
          <w:tcPr>
            <w:tcW w:w="3061" w:type="dxa"/>
          </w:tcPr>
          <w:p w:rsidR="005D6617" w:rsidRDefault="005D6617">
            <w:pPr>
              <w:pStyle w:val="ConsPlusNormal"/>
              <w:jc w:val="center"/>
            </w:pPr>
            <w:r>
              <w:t>100 млн. руб.</w:t>
            </w:r>
          </w:p>
        </w:tc>
      </w:tr>
      <w:tr w:rsidR="005D6617">
        <w:tc>
          <w:tcPr>
            <w:tcW w:w="3515" w:type="dxa"/>
          </w:tcPr>
          <w:p w:rsidR="005D6617" w:rsidRDefault="005D6617">
            <w:pPr>
              <w:pStyle w:val="ConsPlusNormal"/>
            </w:pPr>
            <w:r>
              <w:t>От 50 до 150 тыс. чел.</w:t>
            </w:r>
          </w:p>
        </w:tc>
        <w:tc>
          <w:tcPr>
            <w:tcW w:w="2493" w:type="dxa"/>
          </w:tcPr>
          <w:p w:rsidR="005D6617" w:rsidRDefault="005D6617">
            <w:pPr>
              <w:pStyle w:val="ConsPlusNormal"/>
              <w:jc w:val="center"/>
            </w:pPr>
            <w:r>
              <w:t>15 лотов</w:t>
            </w:r>
          </w:p>
        </w:tc>
        <w:tc>
          <w:tcPr>
            <w:tcW w:w="3061" w:type="dxa"/>
          </w:tcPr>
          <w:p w:rsidR="005D6617" w:rsidRDefault="005D6617">
            <w:pPr>
              <w:pStyle w:val="ConsPlusNormal"/>
              <w:jc w:val="center"/>
            </w:pPr>
            <w:r>
              <w:t>200 млн. руб.</w:t>
            </w:r>
          </w:p>
        </w:tc>
      </w:tr>
      <w:tr w:rsidR="005D6617">
        <w:tc>
          <w:tcPr>
            <w:tcW w:w="3515" w:type="dxa"/>
          </w:tcPr>
          <w:p w:rsidR="005D6617" w:rsidRDefault="005D6617">
            <w:pPr>
              <w:pStyle w:val="ConsPlusNormal"/>
            </w:pPr>
            <w:r>
              <w:t>От 150 тыс. чел. до 1 млн. чел</w:t>
            </w:r>
          </w:p>
        </w:tc>
        <w:tc>
          <w:tcPr>
            <w:tcW w:w="2493" w:type="dxa"/>
          </w:tcPr>
          <w:p w:rsidR="005D6617" w:rsidRDefault="005D6617">
            <w:pPr>
              <w:pStyle w:val="ConsPlusNormal"/>
              <w:jc w:val="center"/>
            </w:pPr>
            <w:r>
              <w:t>20 лотов</w:t>
            </w:r>
          </w:p>
        </w:tc>
        <w:tc>
          <w:tcPr>
            <w:tcW w:w="3061" w:type="dxa"/>
          </w:tcPr>
          <w:p w:rsidR="005D6617" w:rsidRDefault="005D6617">
            <w:pPr>
              <w:pStyle w:val="ConsPlusNormal"/>
              <w:jc w:val="center"/>
            </w:pPr>
            <w:r>
              <w:t>300 млн. руб.</w:t>
            </w:r>
          </w:p>
        </w:tc>
      </w:tr>
      <w:tr w:rsidR="005D6617">
        <w:tc>
          <w:tcPr>
            <w:tcW w:w="3515" w:type="dxa"/>
          </w:tcPr>
          <w:p w:rsidR="005D6617" w:rsidRDefault="005D6617">
            <w:pPr>
              <w:pStyle w:val="ConsPlusNormal"/>
            </w:pPr>
            <w:r>
              <w:t>Свыше 1 млн. чел.</w:t>
            </w:r>
          </w:p>
        </w:tc>
        <w:tc>
          <w:tcPr>
            <w:tcW w:w="2493" w:type="dxa"/>
          </w:tcPr>
          <w:p w:rsidR="005D6617" w:rsidRDefault="005D6617">
            <w:pPr>
              <w:pStyle w:val="ConsPlusNormal"/>
              <w:jc w:val="center"/>
            </w:pPr>
            <w:r>
              <w:t>30 лотов</w:t>
            </w:r>
          </w:p>
        </w:tc>
        <w:tc>
          <w:tcPr>
            <w:tcW w:w="3061" w:type="dxa"/>
          </w:tcPr>
          <w:p w:rsidR="005D6617" w:rsidRDefault="005D6617">
            <w:pPr>
              <w:pStyle w:val="ConsPlusNormal"/>
              <w:jc w:val="center"/>
            </w:pPr>
            <w:r>
              <w:t>500 млн. руб.</w:t>
            </w:r>
          </w:p>
        </w:tc>
      </w:tr>
      <w:tr w:rsidR="005D6617">
        <w:tc>
          <w:tcPr>
            <w:tcW w:w="3515" w:type="dxa"/>
          </w:tcPr>
          <w:p w:rsidR="005D6617" w:rsidRDefault="005D6617">
            <w:pPr>
              <w:pStyle w:val="ConsPlusNormal"/>
            </w:pPr>
            <w:r>
              <w:t>Города федерального значения Москва и Санкт-Петербург</w:t>
            </w:r>
          </w:p>
        </w:tc>
        <w:tc>
          <w:tcPr>
            <w:tcW w:w="2493" w:type="dxa"/>
          </w:tcPr>
          <w:p w:rsidR="005D6617" w:rsidRDefault="005D6617">
            <w:pPr>
              <w:pStyle w:val="ConsPlusNormal"/>
              <w:jc w:val="center"/>
            </w:pPr>
            <w:r>
              <w:t>50 лотов</w:t>
            </w:r>
          </w:p>
        </w:tc>
        <w:tc>
          <w:tcPr>
            <w:tcW w:w="3061" w:type="dxa"/>
          </w:tcPr>
          <w:p w:rsidR="005D6617" w:rsidRDefault="005D6617">
            <w:pPr>
              <w:pStyle w:val="ConsPlusNormal"/>
              <w:jc w:val="center"/>
            </w:pPr>
            <w:r>
              <w:t>500 млн. руб.</w:t>
            </w:r>
          </w:p>
        </w:tc>
      </w:tr>
    </w:tbl>
    <w:p w:rsidR="005D6617" w:rsidRDefault="005D6617">
      <w:pPr>
        <w:pStyle w:val="ConsPlusNormal"/>
        <w:jc w:val="both"/>
      </w:pPr>
    </w:p>
    <w:p w:rsidR="005D6617" w:rsidRDefault="005D6617">
      <w:pPr>
        <w:pStyle w:val="ConsPlusTitle"/>
        <w:jc w:val="center"/>
        <w:outlineLvl w:val="1"/>
      </w:pPr>
      <w:r>
        <w:t>Перевозки по смежным межрегиональным маршрутам:</w:t>
      </w:r>
    </w:p>
    <w:p w:rsidR="005D6617" w:rsidRDefault="005D66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272"/>
      </w:tblGrid>
      <w:tr w:rsidR="005D6617">
        <w:tc>
          <w:tcPr>
            <w:tcW w:w="3798" w:type="dxa"/>
          </w:tcPr>
          <w:p w:rsidR="005D6617" w:rsidRDefault="005D6617">
            <w:pPr>
              <w:pStyle w:val="ConsPlusNormal"/>
              <w:jc w:val="center"/>
            </w:pPr>
            <w:r>
              <w:t>Минимальное количество лотов при организации регулярных перевозок</w:t>
            </w:r>
          </w:p>
        </w:tc>
        <w:tc>
          <w:tcPr>
            <w:tcW w:w="5272" w:type="dxa"/>
          </w:tcPr>
          <w:p w:rsidR="005D6617" w:rsidRDefault="005D6617">
            <w:pPr>
              <w:pStyle w:val="ConsPlusNormal"/>
              <w:jc w:val="center"/>
            </w:pPr>
            <w:r>
              <w:t>Максимальный размер обеспечения исполнения контракта, предоставляемого лицом, с которым заключается контракт</w:t>
            </w:r>
          </w:p>
        </w:tc>
      </w:tr>
      <w:tr w:rsidR="005D6617">
        <w:tc>
          <w:tcPr>
            <w:tcW w:w="3798" w:type="dxa"/>
          </w:tcPr>
          <w:p w:rsidR="005D6617" w:rsidRDefault="005D6617">
            <w:pPr>
              <w:pStyle w:val="ConsPlusNormal"/>
              <w:jc w:val="center"/>
            </w:pPr>
            <w:r>
              <w:t>5 лотов</w:t>
            </w:r>
          </w:p>
        </w:tc>
        <w:tc>
          <w:tcPr>
            <w:tcW w:w="5272" w:type="dxa"/>
          </w:tcPr>
          <w:p w:rsidR="005D6617" w:rsidRDefault="005D6617">
            <w:pPr>
              <w:pStyle w:val="ConsPlusNormal"/>
              <w:jc w:val="center"/>
            </w:pPr>
            <w:r>
              <w:t>300 млн. руб.</w:t>
            </w:r>
          </w:p>
        </w:tc>
      </w:tr>
    </w:tbl>
    <w:p w:rsidR="005D6617" w:rsidRDefault="005D6617">
      <w:pPr>
        <w:pStyle w:val="ConsPlusNormal"/>
        <w:jc w:val="both"/>
      </w:pPr>
    </w:p>
    <w:p w:rsidR="005D6617" w:rsidRDefault="005D6617">
      <w:pPr>
        <w:pStyle w:val="ConsPlusNormal"/>
        <w:jc w:val="both"/>
      </w:pPr>
    </w:p>
    <w:p w:rsidR="005D6617" w:rsidRDefault="005D66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3D6B" w:rsidRDefault="00A63D6B">
      <w:bookmarkStart w:id="3" w:name="_GoBack"/>
      <w:bookmarkEnd w:id="3"/>
    </w:p>
    <w:sectPr w:rsidR="00A63D6B" w:rsidSect="0039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17"/>
    <w:rsid w:val="005D6617"/>
    <w:rsid w:val="00A6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6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66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66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6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66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66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1D7F308A1F873BB4F023125C6D9A0D5A7B0B353A11F9815C71A7E1B2B953EB379731B7A0087FCB54A77928E102AFDC6DC20913F240FE49Z3dA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1D7F308A1F873BB4F023125C6D9A0D5A7B08393016F9815C71A7E1B2B953EB259769BBA10A60CF52B22F79A7Z5d7I" TargetMode="External"/><Relationship Id="rId12" Type="http://schemas.openxmlformats.org/officeDocument/2006/relationships/hyperlink" Target="consultantplus://offline/ref=531D7F308A1F873BB4F023125C6D9A0D5A7A00393B15F9815C71A7E1B2B953EB259769BBA10A60CF52B22F79A7Z5d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1D7F308A1F873BB4F023125C6D9A0D5A7B0D383A13F9815C71A7E1B2B953EB259769BBA10A60CF52B22F79A7Z5d7I" TargetMode="External"/><Relationship Id="rId11" Type="http://schemas.openxmlformats.org/officeDocument/2006/relationships/hyperlink" Target="consultantplus://offline/ref=531D7F308A1F873BB4F023125C6D9A0D5A7B08393016F9815C71A7E1B2B953EB259769BBA10A60CF52B22F79A7Z5d7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531D7F308A1F873BB4F023125C6D9A0D5A7A00393B15F9815C71A7E1B2B953EB379731B0A501759A02E87874A455BCDC6EC20A12EEZ4d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1D7F308A1F873BB4F023125C6D9A0D5A7B08393016F9815C71A7E1B2B953EB379731B5A30D759A02E87874A455BCDC6EC20A12EEZ4d2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2020-11-12T08:29:00Z</dcterms:created>
  <dcterms:modified xsi:type="dcterms:W3CDTF">2020-11-12T08:29:00Z</dcterms:modified>
</cp:coreProperties>
</file>